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pPr>
      <w:r>
        <w:t>202</w:t>
      </w:r>
      <w:r>
        <w:rPr>
          <w:rFonts w:hint="eastAsia"/>
          <w:lang w:val="en-US" w:eastAsia="zh-CN"/>
        </w:rPr>
        <w:t>2</w:t>
      </w:r>
      <w:r>
        <w:rPr>
          <w:rFonts w:hint="eastAsia"/>
        </w:rPr>
        <w:t>年乐至县项目支出绩效自评报告</w:t>
      </w:r>
    </w:p>
    <w:p>
      <w:pPr>
        <w:pStyle w:val="3"/>
        <w:bidi w:val="0"/>
        <w:jc w:val="center"/>
        <w:rPr>
          <w:rFonts w:hint="eastAsia" w:eastAsia="方正楷体简体"/>
          <w:b/>
          <w:sz w:val="32"/>
          <w:szCs w:val="32"/>
        </w:rPr>
      </w:pPr>
      <w:r>
        <w:rPr>
          <w:rFonts w:hint="eastAsia"/>
        </w:rPr>
        <w:t>（</w:t>
      </w:r>
      <w:r>
        <w:rPr>
          <w:rFonts w:hint="eastAsia"/>
          <w:lang w:val="en-US" w:eastAsia="zh-CN"/>
        </w:rPr>
        <w:t>投影仪采购</w:t>
      </w:r>
      <w:r>
        <w:rPr>
          <w:rFonts w:hint="eastAsia"/>
        </w:rPr>
        <w:t>）</w:t>
      </w:r>
    </w:p>
    <w:p>
      <w:pPr>
        <w:spacing w:line="580" w:lineRule="exact"/>
        <w:ind w:firstLine="640" w:firstLineChars="200"/>
        <w:rPr>
          <w:rFonts w:hint="eastAsia" w:eastAsia="方正黑体简体"/>
          <w:sz w:val="32"/>
          <w:szCs w:val="32"/>
        </w:rPr>
      </w:pPr>
      <w:r>
        <w:rPr>
          <w:rFonts w:hint="eastAsia" w:eastAsia="仿宋_GB2312" w:cs="Times New Roman"/>
          <w:bCs/>
          <w:sz w:val="32"/>
          <w:szCs w:val="32"/>
          <w:lang w:val="en-US" w:eastAsia="zh-CN"/>
        </w:rPr>
        <w:t>我会对2022年度财政资金项目支出绩效进行了自查自评，现将自评结果报告如下：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（一）概况</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1.立项背景及目的</w:t>
      </w:r>
    </w:p>
    <w:p>
      <w:pPr>
        <w:spacing w:line="580" w:lineRule="exact"/>
        <w:ind w:firstLine="640" w:firstLineChars="200"/>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eastAsia="zh-CN"/>
        </w:rPr>
        <w:t>为</w:t>
      </w:r>
      <w:r>
        <w:rPr>
          <w:rFonts w:hint="eastAsia" w:eastAsia="仿宋_GB2312" w:cs="Times New Roman"/>
          <w:bCs/>
          <w:sz w:val="32"/>
          <w:szCs w:val="32"/>
          <w:lang w:val="en-US" w:eastAsia="zh-CN"/>
        </w:rPr>
        <w:t>加大救护知识培训力度，增强红十字会的动员力、执行力、公信力、影响力，提升依法履职综合能力</w:t>
      </w:r>
      <w:r>
        <w:rPr>
          <w:rFonts w:hint="default" w:ascii="Times New Roman" w:hAnsi="Times New Roman" w:eastAsia="仿宋_GB2312" w:cs="Times New Roman"/>
          <w:bCs/>
          <w:sz w:val="32"/>
          <w:szCs w:val="32"/>
          <w:lang w:eastAsia="zh-CN"/>
        </w:rPr>
        <w:t>。项目为解决</w:t>
      </w:r>
      <w:r>
        <w:rPr>
          <w:rFonts w:hint="eastAsia" w:eastAsia="仿宋_GB2312" w:cs="Times New Roman"/>
          <w:bCs/>
          <w:sz w:val="32"/>
          <w:szCs w:val="32"/>
          <w:lang w:val="en-US" w:eastAsia="zh-CN"/>
        </w:rPr>
        <w:t>应急救护知识培训中师资授课设备问题</w:t>
      </w:r>
      <w:r>
        <w:rPr>
          <w:rFonts w:hint="default" w:ascii="Times New Roman" w:hAnsi="Times New Roman" w:eastAsia="仿宋_GB2312" w:cs="Times New Roman"/>
          <w:bCs/>
          <w:sz w:val="32"/>
          <w:szCs w:val="32"/>
          <w:lang w:eastAsia="zh-CN"/>
        </w:rPr>
        <w:t>。</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2.预算资金来源及使用情况</w:t>
      </w:r>
    </w:p>
    <w:p>
      <w:pPr>
        <w:spacing w:line="580" w:lineRule="exact"/>
        <w:ind w:firstLine="640" w:firstLineChars="200"/>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eastAsia="zh-CN"/>
        </w:rPr>
        <w:t>项目资金为</w:t>
      </w:r>
      <w:r>
        <w:rPr>
          <w:rFonts w:hint="eastAsia" w:eastAsia="仿宋_GB2312" w:cs="Times New Roman"/>
          <w:bCs/>
          <w:sz w:val="32"/>
          <w:szCs w:val="32"/>
          <w:lang w:val="en-US" w:eastAsia="zh-CN"/>
        </w:rPr>
        <w:t>省红会下拨能力建设专项资金</w:t>
      </w:r>
      <w:r>
        <w:rPr>
          <w:rFonts w:hint="default" w:ascii="Times New Roman" w:hAnsi="Times New Roman" w:eastAsia="仿宋_GB2312" w:cs="Times New Roman"/>
          <w:bCs/>
          <w:sz w:val="32"/>
          <w:szCs w:val="32"/>
          <w:lang w:eastAsia="zh-CN"/>
        </w:rPr>
        <w:t>，</w:t>
      </w:r>
      <w:r>
        <w:rPr>
          <w:rFonts w:hint="eastAsia" w:eastAsia="仿宋_GB2312" w:cs="Times New Roman"/>
          <w:bCs/>
          <w:sz w:val="32"/>
          <w:szCs w:val="32"/>
          <w:lang w:val="en-US" w:eastAsia="zh-CN"/>
        </w:rPr>
        <w:t>用于投影仪采购</w:t>
      </w:r>
      <w:r>
        <w:rPr>
          <w:rFonts w:hint="default" w:ascii="Times New Roman" w:hAnsi="Times New Roman" w:eastAsia="仿宋_GB2312" w:cs="Times New Roman"/>
          <w:bCs/>
          <w:sz w:val="32"/>
          <w:szCs w:val="32"/>
          <w:lang w:val="en-US" w:eastAsia="zh-CN"/>
        </w:rPr>
        <w:t>。</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3.实施情况（项目完成情况）</w:t>
      </w:r>
    </w:p>
    <w:p>
      <w:pPr>
        <w:spacing w:line="580" w:lineRule="exact"/>
        <w:ind w:firstLine="640" w:firstLineChars="200"/>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eastAsia="zh-CN"/>
        </w:rPr>
        <w:t>项目组织实施的实际情况按</w:t>
      </w:r>
      <w:r>
        <w:rPr>
          <w:rFonts w:hint="eastAsia" w:eastAsia="仿宋_GB2312" w:cs="Times New Roman"/>
          <w:bCs/>
          <w:sz w:val="32"/>
          <w:szCs w:val="32"/>
          <w:lang w:val="en-US" w:eastAsia="zh-CN"/>
        </w:rPr>
        <w:t>政府采购制度及程序</w:t>
      </w:r>
      <w:r>
        <w:rPr>
          <w:rFonts w:hint="default" w:ascii="Times New Roman" w:hAnsi="Times New Roman" w:eastAsia="仿宋_GB2312" w:cs="Times New Roman"/>
          <w:bCs/>
          <w:sz w:val="32"/>
          <w:szCs w:val="32"/>
          <w:lang w:eastAsia="zh-CN"/>
        </w:rPr>
        <w:t>有序开展，与目标无差异</w:t>
      </w:r>
      <w:r>
        <w:rPr>
          <w:rFonts w:hint="eastAsia" w:eastAsia="仿宋_GB2312" w:cs="Times New Roman"/>
          <w:bCs/>
          <w:sz w:val="32"/>
          <w:szCs w:val="32"/>
          <w:lang w:eastAsia="zh-CN"/>
        </w:rPr>
        <w:t>，</w:t>
      </w:r>
      <w:r>
        <w:rPr>
          <w:rFonts w:hint="eastAsia" w:eastAsia="仿宋_GB2312" w:cs="Times New Roman"/>
          <w:bCs/>
          <w:sz w:val="32"/>
          <w:szCs w:val="32"/>
          <w:lang w:val="en-US" w:eastAsia="zh-CN"/>
        </w:rPr>
        <w:t>成功采购投影仪一台</w:t>
      </w:r>
      <w:r>
        <w:rPr>
          <w:rFonts w:hint="default" w:ascii="Times New Roman" w:hAnsi="Times New Roman" w:eastAsia="仿宋_GB2312" w:cs="Times New Roman"/>
          <w:bCs/>
          <w:sz w:val="32"/>
          <w:szCs w:val="32"/>
          <w:lang w:eastAsia="zh-CN"/>
        </w:rPr>
        <w:t>。</w:t>
      </w:r>
    </w:p>
    <w:p>
      <w:pPr>
        <w:spacing w:line="580" w:lineRule="exact"/>
        <w:ind w:firstLine="643" w:firstLineChars="200"/>
        <w:rPr>
          <w:rFonts w:hint="default" w:ascii="Times New Roman" w:hAnsi="Times New Roman" w:eastAsia="方正仿宋简体" w:cs="Times New Roman"/>
          <w:b/>
          <w:bCs w:val="0"/>
          <w:sz w:val="32"/>
          <w:szCs w:val="32"/>
        </w:rPr>
      </w:pPr>
      <w:r>
        <w:rPr>
          <w:rFonts w:hint="default" w:ascii="Times New Roman" w:hAnsi="Times New Roman" w:eastAsia="方正仿宋简体" w:cs="Times New Roman"/>
          <w:b/>
          <w:bCs w:val="0"/>
          <w:sz w:val="32"/>
          <w:szCs w:val="32"/>
        </w:rPr>
        <w:t>4.组织及管理（项目组织、管理流程及实际执行情况）</w:t>
      </w:r>
    </w:p>
    <w:p>
      <w:pPr>
        <w:spacing w:line="580" w:lineRule="exact"/>
        <w:ind w:firstLine="640" w:firstLineChars="200"/>
        <w:rPr>
          <w:rFonts w:hint="default" w:ascii="Times New Roman" w:hAnsi="Times New Roman" w:eastAsia="仿宋_GB2312" w:cs="Times New Roman"/>
          <w:bCs/>
          <w:sz w:val="32"/>
          <w:szCs w:val="32"/>
          <w:lang w:eastAsia="zh-CN"/>
        </w:rPr>
      </w:pPr>
      <w:r>
        <w:rPr>
          <w:rFonts w:hint="eastAsia" w:ascii="Times New Roman" w:hAnsi="Times New Roman" w:eastAsia="仿宋_GB2312" w:cs="Times New Roman"/>
          <w:bCs/>
          <w:sz w:val="32"/>
          <w:szCs w:val="32"/>
          <w:lang w:val="en-US" w:eastAsia="zh-CN"/>
        </w:rPr>
        <w:t>在专项资金组织管理上，我会严格按照相关规定执行。项目经费使用有主要领导、分管领导、财务人员。项目经费的开支管理及费用报销均严格执行相关制度规定，坚持勤俭节约，确保资金的规范使用与安全。严格执行项目预决算制度。年度计划、重大支出等重大事项均经过会长办公会（扩大会）集体讨论决定。</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（二）绩效目标</w:t>
      </w:r>
    </w:p>
    <w:p>
      <w:pPr>
        <w:spacing w:line="580" w:lineRule="exact"/>
        <w:ind w:firstLine="640" w:firstLineChars="200"/>
        <w:rPr>
          <w:rFonts w:hint="default" w:ascii="Times New Roman" w:hAnsi="Times New Roman" w:eastAsia="仿宋_GB2312" w:cs="Times New Roman"/>
          <w:bCs/>
          <w:sz w:val="32"/>
          <w:szCs w:val="32"/>
          <w:lang w:val="en-US" w:eastAsia="zh-CN"/>
        </w:rPr>
      </w:pPr>
      <w:r>
        <w:rPr>
          <w:rFonts w:hint="eastAsia" w:eastAsia="仿宋_GB2312" w:cs="Times New Roman"/>
          <w:bCs/>
          <w:sz w:val="32"/>
          <w:szCs w:val="32"/>
          <w:lang w:val="en-US" w:eastAsia="zh-CN"/>
        </w:rPr>
        <w:t>通过项目实施，通过政府采购成功购置投影仪一台，用于应急救护知识培训工作的开展。</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二、绩效自评工作情况</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（一）自评工作组织领导</w:t>
      </w:r>
    </w:p>
    <w:p>
      <w:pPr>
        <w:spacing w:line="580" w:lineRule="exact"/>
        <w:ind w:firstLine="640" w:firstLineChars="200"/>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val="en-US" w:eastAsia="zh-CN"/>
        </w:rPr>
        <w:t>根据乐至县财政局印发的《</w:t>
      </w:r>
      <w:r>
        <w:rPr>
          <w:rFonts w:hint="eastAsia" w:eastAsia="仿宋_GB2312" w:cs="Times New Roman"/>
          <w:bCs/>
          <w:sz w:val="32"/>
          <w:szCs w:val="32"/>
          <w:lang w:val="en-US" w:eastAsia="zh-CN"/>
        </w:rPr>
        <w:t>关于开展2022年度财政支出绩效自评工作的通知</w:t>
      </w:r>
      <w:r>
        <w:rPr>
          <w:rFonts w:hint="default" w:ascii="Times New Roman" w:hAnsi="Times New Roman" w:eastAsia="仿宋_GB2312" w:cs="Times New Roman"/>
          <w:bCs/>
          <w:sz w:val="32"/>
          <w:szCs w:val="32"/>
          <w:lang w:val="en-US" w:eastAsia="zh-CN"/>
        </w:rPr>
        <w:t>》（乐财</w:t>
      </w:r>
      <w:r>
        <w:rPr>
          <w:rFonts w:hint="eastAsia" w:eastAsia="仿宋_GB2312" w:cs="Times New Roman"/>
          <w:bCs/>
          <w:sz w:val="32"/>
          <w:szCs w:val="32"/>
          <w:lang w:val="en-US" w:eastAsia="zh-CN"/>
        </w:rPr>
        <w:t>监督绩效</w:t>
      </w:r>
      <w:r>
        <w:rPr>
          <w:rFonts w:hint="default" w:ascii="Times New Roman" w:hAnsi="Times New Roman" w:eastAsia="仿宋_GB2312" w:cs="Times New Roman"/>
          <w:bCs/>
          <w:sz w:val="32"/>
          <w:szCs w:val="32"/>
          <w:lang w:val="en-US" w:eastAsia="zh-CN"/>
        </w:rPr>
        <w:t>〔202</w:t>
      </w:r>
      <w:r>
        <w:rPr>
          <w:rFonts w:hint="eastAsia" w:eastAsia="仿宋_GB2312" w:cs="Times New Roman"/>
          <w:bCs/>
          <w:sz w:val="32"/>
          <w:szCs w:val="32"/>
          <w:lang w:val="en-US" w:eastAsia="zh-CN"/>
        </w:rPr>
        <w:t>3</w:t>
      </w:r>
      <w:r>
        <w:rPr>
          <w:rFonts w:hint="default" w:ascii="Times New Roman" w:hAnsi="Times New Roman" w:eastAsia="仿宋_GB2312" w:cs="Times New Roman"/>
          <w:bCs/>
          <w:sz w:val="32"/>
          <w:szCs w:val="32"/>
          <w:lang w:val="en-US" w:eastAsia="zh-CN"/>
        </w:rPr>
        <w:t>〕</w:t>
      </w:r>
      <w:r>
        <w:rPr>
          <w:rFonts w:hint="eastAsia" w:eastAsia="仿宋_GB2312" w:cs="Times New Roman"/>
          <w:bCs/>
          <w:sz w:val="32"/>
          <w:szCs w:val="32"/>
          <w:lang w:val="en-US" w:eastAsia="zh-CN"/>
        </w:rPr>
        <w:t>14</w:t>
      </w:r>
      <w:r>
        <w:rPr>
          <w:rFonts w:hint="default" w:ascii="Times New Roman" w:hAnsi="Times New Roman" w:eastAsia="仿宋_GB2312" w:cs="Times New Roman"/>
          <w:bCs/>
          <w:sz w:val="32"/>
          <w:szCs w:val="32"/>
          <w:lang w:val="en-US" w:eastAsia="zh-CN"/>
        </w:rPr>
        <w:t>号）文件的要求，组织学习了相关绩效管理办法，并成立了专门的绩效管理工作小组，负责对全年的项目绩效运行进行管理和自评。</w:t>
      </w:r>
    </w:p>
    <w:p>
      <w:pPr>
        <w:numPr>
          <w:ilvl w:val="0"/>
          <w:numId w:val="1"/>
        </w:num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自评方式、方法、重点等</w:t>
      </w:r>
    </w:p>
    <w:p>
      <w:pPr>
        <w:numPr>
          <w:ilvl w:val="0"/>
          <w:numId w:val="0"/>
        </w:numPr>
        <w:spacing w:line="580" w:lineRule="exact"/>
        <w:rPr>
          <w:rFonts w:hint="default" w:ascii="Times New Roman" w:hAnsi="Times New Roman" w:eastAsia="仿宋_GB2312" w:cs="Times New Roman"/>
          <w:bCs/>
          <w:sz w:val="32"/>
          <w:szCs w:val="32"/>
          <w:lang w:val="en-US" w:eastAsia="zh-CN"/>
        </w:rPr>
      </w:pPr>
      <w:r>
        <w:rPr>
          <w:rFonts w:hint="default" w:ascii="Times New Roman" w:hAnsi="Times New Roman" w:eastAsia="方正楷体简体" w:cs="Times New Roman"/>
          <w:b/>
          <w:sz w:val="32"/>
          <w:szCs w:val="32"/>
          <w:lang w:val="en-US" w:eastAsia="zh-CN"/>
        </w:rPr>
        <w:t xml:space="preserve">    </w:t>
      </w:r>
      <w:r>
        <w:rPr>
          <w:rFonts w:hint="default" w:ascii="Times New Roman" w:hAnsi="Times New Roman" w:eastAsia="仿宋_GB2312" w:cs="Times New Roman"/>
          <w:bCs/>
          <w:sz w:val="32"/>
          <w:szCs w:val="32"/>
          <w:lang w:val="en-US" w:eastAsia="zh-CN"/>
        </w:rPr>
        <w:t>由</w:t>
      </w:r>
      <w:r>
        <w:rPr>
          <w:rFonts w:hint="eastAsia" w:eastAsia="仿宋_GB2312" w:cs="Times New Roman"/>
          <w:bCs/>
          <w:sz w:val="32"/>
          <w:szCs w:val="32"/>
          <w:lang w:val="en-US" w:eastAsia="zh-CN"/>
        </w:rPr>
        <w:t>我会</w:t>
      </w:r>
      <w:r>
        <w:rPr>
          <w:rFonts w:hint="default" w:ascii="Times New Roman" w:hAnsi="Times New Roman" w:eastAsia="仿宋_GB2312" w:cs="Times New Roman"/>
          <w:bCs/>
          <w:sz w:val="32"/>
          <w:szCs w:val="32"/>
          <w:lang w:val="en-US" w:eastAsia="zh-CN"/>
        </w:rPr>
        <w:t>成立</w:t>
      </w:r>
      <w:r>
        <w:rPr>
          <w:rFonts w:hint="eastAsia" w:eastAsia="仿宋_GB2312" w:cs="Times New Roman"/>
          <w:bCs/>
          <w:sz w:val="32"/>
          <w:szCs w:val="32"/>
          <w:lang w:val="en-US" w:eastAsia="zh-CN"/>
        </w:rPr>
        <w:t>的</w:t>
      </w:r>
      <w:r>
        <w:rPr>
          <w:rFonts w:hint="default" w:ascii="Times New Roman" w:hAnsi="Times New Roman" w:eastAsia="仿宋_GB2312" w:cs="Times New Roman"/>
          <w:bCs/>
          <w:sz w:val="32"/>
          <w:szCs w:val="32"/>
          <w:lang w:val="en-US" w:eastAsia="zh-CN"/>
        </w:rPr>
        <w:t>自评工作领导小组和业务股室重点对项目完成情况进行评价，确保项目完成</w:t>
      </w:r>
      <w:r>
        <w:rPr>
          <w:rFonts w:hint="eastAsia" w:eastAsia="仿宋_GB2312" w:cs="Times New Roman"/>
          <w:bCs/>
          <w:sz w:val="32"/>
          <w:szCs w:val="32"/>
          <w:lang w:val="en-US" w:eastAsia="zh-CN"/>
        </w:rPr>
        <w:t>程度</w:t>
      </w:r>
      <w:r>
        <w:rPr>
          <w:rFonts w:hint="default" w:ascii="Times New Roman" w:hAnsi="Times New Roman" w:eastAsia="仿宋_GB2312" w:cs="Times New Roman"/>
          <w:bCs/>
          <w:sz w:val="32"/>
          <w:szCs w:val="32"/>
          <w:lang w:val="en-US" w:eastAsia="zh-CN"/>
        </w:rPr>
        <w:t>和规范性，做到专款专用，提高资金使用</w:t>
      </w:r>
      <w:r>
        <w:rPr>
          <w:rFonts w:hint="eastAsia" w:eastAsia="仿宋_GB2312" w:cs="Times New Roman"/>
          <w:bCs/>
          <w:sz w:val="32"/>
          <w:szCs w:val="32"/>
          <w:lang w:val="en-US" w:eastAsia="zh-CN"/>
        </w:rPr>
        <w:t>效率</w:t>
      </w:r>
      <w:r>
        <w:rPr>
          <w:rFonts w:hint="eastAsia" w:ascii="Times New Roman" w:hAnsi="Times New Roman" w:eastAsia="仿宋_GB2312" w:cs="Times New Roman"/>
          <w:bCs/>
          <w:sz w:val="32"/>
          <w:szCs w:val="32"/>
          <w:lang w:val="en-US" w:eastAsia="zh-CN"/>
        </w:rPr>
        <w:t>。</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三、评价结论</w:t>
      </w:r>
    </w:p>
    <w:p>
      <w:pPr>
        <w:numPr>
          <w:ilvl w:val="0"/>
          <w:numId w:val="0"/>
        </w:numPr>
        <w:spacing w:line="580" w:lineRule="exact"/>
        <w:ind w:firstLine="640" w:firstLineChars="200"/>
        <w:rPr>
          <w:rFonts w:hint="eastAsia"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我</w:t>
      </w:r>
      <w:r>
        <w:rPr>
          <w:rFonts w:hint="eastAsia" w:ascii="Times New Roman" w:hAnsi="Times New Roman" w:eastAsia="仿宋_GB2312" w:cs="Times New Roman"/>
          <w:bCs/>
          <w:sz w:val="32"/>
          <w:szCs w:val="32"/>
          <w:lang w:val="en-US" w:eastAsia="zh-CN"/>
        </w:rPr>
        <w:t>会</w:t>
      </w:r>
      <w:r>
        <w:rPr>
          <w:rFonts w:hint="default" w:ascii="Times New Roman" w:hAnsi="Times New Roman" w:eastAsia="仿宋_GB2312" w:cs="Times New Roman"/>
          <w:bCs/>
          <w:sz w:val="32"/>
          <w:szCs w:val="32"/>
          <w:lang w:val="en-US" w:eastAsia="zh-CN"/>
        </w:rPr>
        <w:t>202</w:t>
      </w:r>
      <w:r>
        <w:rPr>
          <w:rFonts w:hint="eastAsia" w:eastAsia="仿宋_GB2312" w:cs="Times New Roman"/>
          <w:bCs/>
          <w:sz w:val="32"/>
          <w:szCs w:val="32"/>
          <w:lang w:val="en-US" w:eastAsia="zh-CN"/>
        </w:rPr>
        <w:t>2</w:t>
      </w:r>
      <w:r>
        <w:rPr>
          <w:rFonts w:hint="default" w:ascii="Times New Roman" w:hAnsi="Times New Roman" w:eastAsia="仿宋_GB2312" w:cs="Times New Roman"/>
          <w:bCs/>
          <w:sz w:val="32"/>
          <w:szCs w:val="32"/>
          <w:lang w:val="en-US" w:eastAsia="zh-CN"/>
        </w:rPr>
        <w:t>年度项目支出绩效自评分为9</w:t>
      </w:r>
      <w:r>
        <w:rPr>
          <w:rFonts w:hint="eastAsia" w:eastAsia="仿宋_GB2312" w:cs="Times New Roman"/>
          <w:bCs/>
          <w:sz w:val="32"/>
          <w:szCs w:val="32"/>
          <w:lang w:val="en-US" w:eastAsia="zh-CN"/>
        </w:rPr>
        <w:t>4</w:t>
      </w:r>
      <w:r>
        <w:rPr>
          <w:rFonts w:hint="default" w:ascii="Times New Roman" w:hAnsi="Times New Roman" w:eastAsia="仿宋_GB2312" w:cs="Times New Roman"/>
          <w:bCs/>
          <w:sz w:val="32"/>
          <w:szCs w:val="32"/>
          <w:lang w:val="en-US" w:eastAsia="zh-CN"/>
        </w:rPr>
        <w:t>分，</w:t>
      </w:r>
      <w:r>
        <w:rPr>
          <w:rFonts w:hint="eastAsia" w:ascii="Times New Roman" w:hAnsi="Times New Roman" w:eastAsia="仿宋_GB2312" w:cs="Times New Roman"/>
          <w:bCs/>
          <w:sz w:val="32"/>
          <w:szCs w:val="32"/>
          <w:lang w:val="en-US" w:eastAsia="zh-CN"/>
        </w:rPr>
        <w:t>根据</w:t>
      </w:r>
      <w:r>
        <w:rPr>
          <w:rFonts w:hint="default" w:ascii="Times New Roman" w:hAnsi="Times New Roman" w:eastAsia="仿宋_GB2312" w:cs="Times New Roman"/>
          <w:bCs/>
          <w:sz w:val="32"/>
          <w:szCs w:val="32"/>
          <w:lang w:val="en-US" w:eastAsia="zh-CN"/>
        </w:rPr>
        <w:t>综合评分结果，</w:t>
      </w:r>
      <w:r>
        <w:rPr>
          <w:rFonts w:hint="eastAsia" w:ascii="Times New Roman" w:hAnsi="Times New Roman" w:eastAsia="仿宋_GB2312" w:cs="Times New Roman"/>
          <w:bCs/>
          <w:sz w:val="32"/>
          <w:szCs w:val="32"/>
          <w:lang w:val="en-US" w:eastAsia="zh-CN"/>
        </w:rPr>
        <w:t>按照相关文件规定</w:t>
      </w:r>
      <w:r>
        <w:rPr>
          <w:rFonts w:hint="default" w:ascii="Times New Roman" w:hAnsi="Times New Roman" w:eastAsia="仿宋_GB2312" w:cs="Times New Roman"/>
          <w:bCs/>
          <w:sz w:val="32"/>
          <w:szCs w:val="32"/>
          <w:lang w:val="en-US" w:eastAsia="zh-CN"/>
        </w:rPr>
        <w:t>确定绩效等级为</w:t>
      </w:r>
      <w:r>
        <w:rPr>
          <w:rFonts w:hint="eastAsia" w:eastAsia="仿宋_GB2312" w:cs="Times New Roman"/>
          <w:bCs/>
          <w:sz w:val="32"/>
          <w:szCs w:val="32"/>
          <w:lang w:val="en-US" w:eastAsia="zh-CN"/>
        </w:rPr>
        <w:t>良</w:t>
      </w:r>
      <w:r>
        <w:rPr>
          <w:rFonts w:hint="default" w:ascii="Times New Roman" w:hAnsi="Times New Roman" w:eastAsia="仿宋_GB2312" w:cs="Times New Roman"/>
          <w:bCs/>
          <w:sz w:val="32"/>
          <w:szCs w:val="32"/>
          <w:lang w:val="en-US" w:eastAsia="zh-CN"/>
        </w:rPr>
        <w:t>。</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四、绩效分析</w:t>
      </w:r>
    </w:p>
    <w:p>
      <w:pPr>
        <w:spacing w:line="580" w:lineRule="exact"/>
        <w:ind w:firstLine="640" w:firstLineChars="200"/>
        <w:rPr>
          <w:rFonts w:hint="default" w:ascii="Times New Roman" w:hAnsi="Times New Roman" w:eastAsia="仿宋_GB2312" w:cs="Times New Roman"/>
          <w:bCs/>
          <w:sz w:val="32"/>
          <w:szCs w:val="32"/>
          <w:lang w:val="en-US" w:eastAsia="zh-CN"/>
        </w:rPr>
      </w:pPr>
      <w:r>
        <w:rPr>
          <w:rFonts w:hint="eastAsia" w:eastAsia="仿宋_GB2312" w:cs="Times New Roman"/>
          <w:bCs/>
          <w:sz w:val="32"/>
          <w:szCs w:val="32"/>
          <w:lang w:val="en-US" w:eastAsia="zh-CN"/>
        </w:rPr>
        <w:t>我会实施投影仪采购项目数量指标1个，实际完成1个；质量指标投影仪验收合格率达100%；经济效益指标工作效率提升情况明显提升；可持续影响指标在“三救三献”中持续扩大影响力明显；经济成本指标投影仪采购总成本0.43万元，小于计划指标；满意度指标受益群众满意度大于90%，实际达到98%，圆满完成项目目标的各项指标。</w:t>
      </w:r>
    </w:p>
    <w:p>
      <w:pPr>
        <w:spacing w:line="580" w:lineRule="exact"/>
        <w:ind w:firstLine="640" w:firstLineChars="200"/>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五、主要经验及做法、存在的问题和建议</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（一）主要经验及做法</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eastAsia" w:eastAsia="仿宋_GB2312" w:cs="Times New Roman"/>
          <w:bCs/>
          <w:sz w:val="32"/>
          <w:szCs w:val="32"/>
          <w:lang w:val="en-US" w:eastAsia="zh-CN"/>
        </w:rPr>
        <w:t>新成立单位年初虽无预算，在追加过程中编制项目计划，确定项目内容和完成目标</w:t>
      </w:r>
      <w:r>
        <w:rPr>
          <w:rFonts w:hint="default" w:ascii="Times New Roman" w:hAnsi="Times New Roman" w:eastAsia="仿宋_GB2312" w:cs="Times New Roman"/>
          <w:bCs/>
          <w:sz w:val="32"/>
          <w:szCs w:val="32"/>
          <w:lang w:val="en-US" w:eastAsia="zh-CN"/>
        </w:rPr>
        <w:t>，项目实施过程中加强了对项目实施过程的跟踪</w:t>
      </w:r>
      <w:r>
        <w:rPr>
          <w:rFonts w:hint="eastAsia"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监督和绩效评价，确保了项目</w:t>
      </w:r>
      <w:r>
        <w:rPr>
          <w:rFonts w:hint="eastAsia" w:eastAsia="仿宋_GB2312" w:cs="Times New Roman"/>
          <w:bCs/>
          <w:sz w:val="32"/>
          <w:szCs w:val="32"/>
          <w:lang w:val="en-US" w:eastAsia="zh-CN"/>
        </w:rPr>
        <w:t>各项内容</w:t>
      </w:r>
      <w:r>
        <w:rPr>
          <w:rFonts w:hint="default" w:ascii="Times New Roman" w:hAnsi="Times New Roman" w:eastAsia="仿宋_GB2312" w:cs="Times New Roman"/>
          <w:bCs/>
          <w:sz w:val="32"/>
          <w:szCs w:val="32"/>
          <w:lang w:val="en-US" w:eastAsia="zh-CN"/>
        </w:rPr>
        <w:t>的完成时间和效果。</w:t>
      </w:r>
    </w:p>
    <w:p>
      <w:pPr>
        <w:spacing w:line="580" w:lineRule="exact"/>
        <w:ind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（二）存在的问题</w:t>
      </w:r>
    </w:p>
    <w:p>
      <w:pPr>
        <w:pStyle w:val="2"/>
        <w:spacing w:line="620" w:lineRule="exact"/>
        <w:ind w:firstLine="627" w:firstLineChars="196"/>
        <w:rPr>
          <w:rFonts w:hint="default" w:ascii="Times New Roman" w:hAnsi="Times New Roman" w:eastAsia="方正楷体简体" w:cs="Times New Roman"/>
          <w:b/>
          <w:sz w:val="32"/>
          <w:szCs w:val="32"/>
        </w:rPr>
      </w:pPr>
      <w:r>
        <w:rPr>
          <w:rFonts w:hint="default" w:ascii="Times New Roman" w:hAnsi="Times New Roman" w:eastAsia="仿宋_GB2312" w:cs="Times New Roman"/>
          <w:bCs/>
          <w:kern w:val="2"/>
          <w:sz w:val="32"/>
          <w:szCs w:val="32"/>
          <w:lang w:val="en-US" w:eastAsia="zh-CN" w:bidi="ar-SA"/>
        </w:rPr>
        <w:t>对绩效评价工作尚不熟练，项目绩效评价不够深入，</w:t>
      </w:r>
      <w:r>
        <w:rPr>
          <w:rFonts w:hint="eastAsia" w:ascii="Times New Roman" w:hAnsi="Times New Roman" w:eastAsia="仿宋_GB2312" w:cs="Times New Roman"/>
          <w:bCs/>
          <w:kern w:val="2"/>
          <w:sz w:val="32"/>
          <w:szCs w:val="32"/>
          <w:lang w:val="en-US" w:eastAsia="zh-CN" w:bidi="ar-SA"/>
        </w:rPr>
        <w:t>缺乏专业的绩效评价知识。</w:t>
      </w:r>
    </w:p>
    <w:p>
      <w:pPr>
        <w:numPr>
          <w:ilvl w:val="0"/>
          <w:numId w:val="1"/>
        </w:numPr>
        <w:spacing w:line="580" w:lineRule="exact"/>
        <w:ind w:left="0" w:leftChars="0" w:firstLine="643" w:firstLineChars="200"/>
        <w:rPr>
          <w:rFonts w:hint="default" w:ascii="Times New Roman" w:hAnsi="Times New Roman" w:eastAsia="方正楷体简体" w:cs="Times New Roman"/>
          <w:b/>
          <w:sz w:val="32"/>
          <w:szCs w:val="32"/>
        </w:rPr>
      </w:pPr>
      <w:r>
        <w:rPr>
          <w:rFonts w:hint="default" w:ascii="Times New Roman" w:hAnsi="Times New Roman" w:eastAsia="方正楷体简体" w:cs="Times New Roman"/>
          <w:b/>
          <w:sz w:val="32"/>
          <w:szCs w:val="32"/>
        </w:rPr>
        <w:t>建议和改进措施</w:t>
      </w:r>
    </w:p>
    <w:p>
      <w:pPr>
        <w:pStyle w:val="2"/>
        <w:numPr>
          <w:ilvl w:val="0"/>
          <w:numId w:val="0"/>
        </w:numPr>
        <w:autoSpaceDE/>
        <w:autoSpaceDN/>
        <w:adjustRightInd/>
        <w:spacing w:line="580" w:lineRule="exact"/>
        <w:ind w:firstLine="640" w:firstLineChars="200"/>
        <w:rPr>
          <w:rFonts w:hint="eastAsia" w:ascii="Times New Roman" w:hAnsi="Times New Roman" w:eastAsia="仿宋_GB2312" w:cs="Times New Roman"/>
          <w:bCs/>
          <w:kern w:val="2"/>
          <w:sz w:val="32"/>
          <w:szCs w:val="32"/>
          <w:lang w:val="en-US" w:eastAsia="zh-CN" w:bidi="ar-SA"/>
        </w:rPr>
      </w:pPr>
      <w:r>
        <w:rPr>
          <w:rFonts w:hint="eastAsia" w:ascii="Times New Roman" w:hAnsi="Times New Roman" w:eastAsia="仿宋_GB2312" w:cs="Times New Roman"/>
          <w:bCs/>
          <w:kern w:val="2"/>
          <w:sz w:val="32"/>
          <w:szCs w:val="32"/>
          <w:lang w:val="en-US" w:eastAsia="zh-CN" w:bidi="ar-SA"/>
        </w:rPr>
        <w:t>进一步完善单位预算绩效监控相关制度；加强对预算绩效管理的理论学习，以全面、科学地评价本单位资金运用情况。</w:t>
      </w:r>
    </w:p>
    <w:p>
      <w:pPr>
        <w:pStyle w:val="2"/>
        <w:numPr>
          <w:ilvl w:val="0"/>
          <w:numId w:val="0"/>
        </w:numPr>
        <w:autoSpaceDE/>
        <w:autoSpaceDN/>
        <w:adjustRightInd/>
        <w:spacing w:line="580" w:lineRule="exact"/>
        <w:ind w:firstLine="640" w:firstLineChars="200"/>
        <w:rPr>
          <w:rFonts w:hint="eastAsia" w:ascii="Times New Roman" w:hAnsi="Times New Roman" w:eastAsia="仿宋_GB2312" w:cs="Times New Roman"/>
          <w:bCs/>
          <w:kern w:val="2"/>
          <w:sz w:val="32"/>
          <w:szCs w:val="32"/>
          <w:lang w:val="en-US" w:eastAsia="zh-CN" w:bidi="ar-SA"/>
        </w:rPr>
      </w:pPr>
      <w:r>
        <w:rPr>
          <w:rFonts w:hint="eastAsia" w:ascii="Times New Roman" w:hAnsi="Times New Roman" w:eastAsia="仿宋_GB2312" w:cs="Times New Roman"/>
          <w:bCs/>
          <w:kern w:val="2"/>
          <w:sz w:val="32"/>
          <w:szCs w:val="32"/>
          <w:lang w:val="en-US" w:eastAsia="zh-CN" w:bidi="ar-SA"/>
        </w:rPr>
        <w:t>建议财政部门加强对项目绩效管理工作的全面培训，增强单位对预算项目绩效管理工作的责任感和紧迫感，顺利推进预算项目绩效管理工作的有效实施。</w:t>
      </w:r>
    </w:p>
    <w:p>
      <w:pPr>
        <w:rPr>
          <w:rFonts w:hint="eastAsia"/>
          <w:lang w:val="en-US" w:eastAsia="zh-CN"/>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hint="eastAsia" w:eastAsia="方正黑体简体"/>
          <w:bCs/>
          <w:kern w:val="0"/>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投影仪采购</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乐至县红十字会</w:t>
      </w:r>
      <w:r>
        <w:rPr>
          <w:bCs/>
          <w:kern w:val="0"/>
          <w:sz w:val="24"/>
        </w:rPr>
        <w:t xml:space="preserve">    </w:t>
      </w:r>
      <w:r>
        <w:rPr>
          <w:rFonts w:hint="eastAsia"/>
          <w:bCs/>
          <w:kern w:val="0"/>
          <w:sz w:val="24"/>
        </w:rPr>
        <w:t>预算单位编码：</w:t>
      </w:r>
      <w:r>
        <w:rPr>
          <w:rFonts w:hint="eastAsia"/>
          <w:bCs/>
          <w:kern w:val="0"/>
          <w:sz w:val="24"/>
          <w:lang w:val="en-US" w:eastAsia="zh-CN"/>
        </w:rPr>
        <w:t>199001</w:t>
      </w:r>
      <w:r>
        <w:rPr>
          <w:bCs/>
          <w:kern w:val="0"/>
          <w:sz w:val="24"/>
        </w:rPr>
        <w:t xml:space="preserve">        </w:t>
      </w:r>
      <w:r>
        <w:rPr>
          <w:rFonts w:hint="eastAsia"/>
          <w:bCs/>
          <w:kern w:val="0"/>
          <w:sz w:val="24"/>
        </w:rPr>
        <w:t>自评等级：</w:t>
      </w:r>
      <w:r>
        <w:rPr>
          <w:rFonts w:hint="eastAsia"/>
          <w:bCs/>
          <w:kern w:val="0"/>
          <w:sz w:val="24"/>
          <w:lang w:val="en-US" w:eastAsia="zh-CN"/>
        </w:rPr>
        <w:t>良</w:t>
      </w:r>
    </w:p>
    <w:tbl>
      <w:tblPr>
        <w:tblStyle w:val="4"/>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36"/>
        <w:gridCol w:w="527"/>
        <w:gridCol w:w="675"/>
        <w:gridCol w:w="1739"/>
        <w:gridCol w:w="3735"/>
        <w:gridCol w:w="480"/>
        <w:gridCol w:w="14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9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8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7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54"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204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26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77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9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779" w:type="pct"/>
            <w:noWrap/>
            <w:vAlign w:val="center"/>
          </w:tcPr>
          <w:p>
            <w:pPr>
              <w:widowControl/>
              <w:spacing w:line="24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4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263"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6</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94"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89"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26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26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77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26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77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26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77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26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77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294" w:type="pct"/>
            <w:vMerge w:val="continue"/>
            <w:shd w:val="clear" w:color="auto" w:fill="auto"/>
            <w:noWrap w:val="0"/>
            <w:vAlign w:val="center"/>
          </w:tcPr>
          <w:p>
            <w:pPr>
              <w:widowControl/>
              <w:spacing w:line="260" w:lineRule="exact"/>
              <w:jc w:val="left"/>
              <w:rPr>
                <w:kern w:val="0"/>
                <w:szCs w:val="21"/>
              </w:rPr>
            </w:pPr>
          </w:p>
        </w:tc>
        <w:tc>
          <w:tcPr>
            <w:tcW w:w="289" w:type="pct"/>
            <w:vMerge w:val="continue"/>
            <w:shd w:val="clear" w:color="auto" w:fill="auto"/>
            <w:noWrap w:val="0"/>
            <w:vAlign w:val="center"/>
          </w:tcPr>
          <w:p>
            <w:pPr>
              <w:widowControl/>
              <w:spacing w:line="260" w:lineRule="exact"/>
              <w:jc w:val="left"/>
              <w:rPr>
                <w:kern w:val="0"/>
                <w:szCs w:val="21"/>
              </w:rPr>
            </w:pPr>
          </w:p>
        </w:tc>
        <w:tc>
          <w:tcPr>
            <w:tcW w:w="370"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54"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2049"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26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779"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2049"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9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8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2049"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2049" w:type="pct"/>
            <w:vMerge w:val="continue"/>
            <w:noWrap w:val="0"/>
            <w:vAlign w:val="center"/>
          </w:tcPr>
          <w:p>
            <w:pPr>
              <w:widowControl/>
              <w:spacing w:line="240" w:lineRule="exact"/>
              <w:jc w:val="left"/>
              <w:rPr>
                <w:kern w:val="0"/>
                <w:szCs w:val="21"/>
              </w:rPr>
            </w:pP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54"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2049" w:type="pct"/>
            <w:vMerge w:val="continue"/>
            <w:noWrap w:val="0"/>
            <w:vAlign w:val="center"/>
          </w:tcPr>
          <w:p>
            <w:pPr>
              <w:widowControl/>
              <w:spacing w:line="240" w:lineRule="exact"/>
              <w:jc w:val="left"/>
              <w:rPr>
                <w:kern w:val="0"/>
                <w:szCs w:val="21"/>
              </w:rPr>
            </w:pP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2049" w:type="pct"/>
            <w:vMerge w:val="continue"/>
            <w:noWrap w:val="0"/>
            <w:vAlign w:val="center"/>
          </w:tcPr>
          <w:p>
            <w:pPr>
              <w:widowControl/>
              <w:spacing w:line="240" w:lineRule="exact"/>
              <w:jc w:val="left"/>
              <w:rPr>
                <w:kern w:val="0"/>
                <w:szCs w:val="21"/>
              </w:rPr>
            </w:pP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294" w:type="pct"/>
            <w:vMerge w:val="continue"/>
            <w:shd w:val="clear" w:color="auto" w:fill="auto"/>
            <w:noWrap w:val="0"/>
            <w:vAlign w:val="center"/>
          </w:tcPr>
          <w:p>
            <w:pPr>
              <w:widowControl/>
              <w:spacing w:line="240" w:lineRule="exact"/>
              <w:jc w:val="left"/>
              <w:rPr>
                <w:kern w:val="0"/>
                <w:szCs w:val="21"/>
              </w:rPr>
            </w:pPr>
          </w:p>
        </w:tc>
        <w:tc>
          <w:tcPr>
            <w:tcW w:w="289" w:type="pct"/>
            <w:vMerge w:val="continue"/>
            <w:shd w:val="clear" w:color="auto" w:fill="auto"/>
            <w:noWrap w:val="0"/>
            <w:vAlign w:val="center"/>
          </w:tcPr>
          <w:p>
            <w:pPr>
              <w:widowControl/>
              <w:spacing w:line="240" w:lineRule="exact"/>
              <w:jc w:val="left"/>
              <w:rPr>
                <w:kern w:val="0"/>
                <w:szCs w:val="21"/>
              </w:rPr>
            </w:pPr>
          </w:p>
        </w:tc>
        <w:tc>
          <w:tcPr>
            <w:tcW w:w="370"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54"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2049"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26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8</w:t>
            </w:r>
          </w:p>
        </w:tc>
        <w:tc>
          <w:tcPr>
            <w:tcW w:w="779"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957"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263"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94</w:t>
            </w:r>
          </w:p>
        </w:tc>
        <w:tc>
          <w:tcPr>
            <w:tcW w:w="779"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hint="eastAsia" w:eastAsia="方正黑体简体"/>
          <w:sz w:val="32"/>
          <w:szCs w:val="32"/>
        </w:rPr>
        <w:sectPr>
          <w:pgSz w:w="11906" w:h="16838"/>
          <w:pgMar w:top="1440" w:right="1800" w:bottom="1440" w:left="1800"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2"/>
        <w:spacing w:after="0" w:line="240" w:lineRule="exact"/>
        <w:rPr>
          <w:rFonts w:ascii="宋体"/>
        </w:rPr>
      </w:pPr>
    </w:p>
    <w:tbl>
      <w:tblPr>
        <w:tblStyle w:val="4"/>
        <w:tblW w:w="918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9"/>
        <w:gridCol w:w="827"/>
        <w:gridCol w:w="755"/>
        <w:gridCol w:w="1794"/>
        <w:gridCol w:w="1140"/>
        <w:gridCol w:w="1845"/>
        <w:gridCol w:w="1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333"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投影仪采购</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755" w:type="dxa"/>
            <w:noWrap/>
            <w:vAlign w:val="center"/>
          </w:tcPr>
          <w:p>
            <w:pPr>
              <w:spacing w:line="240" w:lineRule="exact"/>
              <w:jc w:val="center"/>
              <w:rPr>
                <w:szCs w:val="21"/>
              </w:rPr>
            </w:pPr>
            <w:r>
              <w:rPr>
                <w:rFonts w:hint="eastAsia"/>
                <w:color w:val="000000"/>
                <w:kern w:val="0"/>
                <w:szCs w:val="21"/>
              </w:rPr>
              <w:t>□</w:t>
            </w:r>
          </w:p>
        </w:tc>
        <w:tc>
          <w:tcPr>
            <w:tcW w:w="2934" w:type="dxa"/>
            <w:gridSpan w:val="2"/>
            <w:noWrap/>
            <w:vAlign w:val="center"/>
          </w:tcPr>
          <w:p>
            <w:pPr>
              <w:spacing w:line="240" w:lineRule="exact"/>
              <w:jc w:val="center"/>
              <w:rPr>
                <w:szCs w:val="21"/>
              </w:rPr>
            </w:pPr>
            <w:r>
              <w:rPr>
                <w:rFonts w:hint="eastAsia"/>
                <w:color w:val="000000"/>
                <w:kern w:val="0"/>
                <w:szCs w:val="21"/>
              </w:rPr>
              <w:sym w:font="Wingdings 2" w:char="0052"/>
            </w:r>
          </w:p>
        </w:tc>
        <w:tc>
          <w:tcPr>
            <w:tcW w:w="3817" w:type="dxa"/>
            <w:gridSpan w:val="2"/>
            <w:noWrap/>
            <w:vAlign w:val="center"/>
          </w:tcPr>
          <w:p>
            <w:pPr>
              <w:spacing w:line="240" w:lineRule="exact"/>
              <w:jc w:val="center"/>
              <w:rPr>
                <w:szCs w:val="21"/>
              </w:rPr>
            </w:pPr>
            <w:r>
              <w:rPr>
                <w:rFonts w:hint="eastAsia"/>
                <w:color w:val="000000"/>
                <w:kern w:val="0"/>
                <w:szCs w:val="21"/>
              </w:rPr>
              <w:sym w:font="Wingdings 2" w:char="00A3"/>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516" w:type="dxa"/>
            <w:gridSpan w:val="4"/>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乐至县红十字会</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972"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199001</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794"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14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97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43</w:t>
            </w:r>
          </w:p>
        </w:tc>
        <w:tc>
          <w:tcPr>
            <w:tcW w:w="1140" w:type="dxa"/>
            <w:noWrap/>
            <w:vAlign w:val="center"/>
          </w:tcPr>
          <w:p>
            <w:pPr>
              <w:widowControl/>
              <w:spacing w:line="240" w:lineRule="exact"/>
              <w:ind w:firstLine="210" w:firstLineChars="100"/>
              <w:jc w:val="left"/>
              <w:rPr>
                <w:rFonts w:hint="default" w:eastAsia="宋体"/>
                <w:color w:val="000000"/>
                <w:kern w:val="0"/>
                <w:szCs w:val="21"/>
                <w:lang w:val="en-US" w:eastAsia="zh-CN"/>
              </w:rPr>
            </w:pPr>
          </w:p>
        </w:tc>
        <w:tc>
          <w:tcPr>
            <w:tcW w:w="1845" w:type="dxa"/>
            <w:noWrap/>
            <w:vAlign w:val="center"/>
          </w:tcPr>
          <w:p>
            <w:pPr>
              <w:widowControl/>
              <w:spacing w:line="240" w:lineRule="exact"/>
              <w:ind w:firstLine="210" w:firstLineChars="100"/>
              <w:jc w:val="left"/>
              <w:rPr>
                <w:rFonts w:hint="eastAsia" w:eastAsia="宋体"/>
                <w:color w:val="000000"/>
                <w:kern w:val="0"/>
                <w:szCs w:val="21"/>
                <w:lang w:val="en-US" w:eastAsia="zh-CN"/>
              </w:rPr>
            </w:pPr>
          </w:p>
        </w:tc>
        <w:tc>
          <w:tcPr>
            <w:tcW w:w="1972" w:type="dxa"/>
            <w:noWrap/>
            <w:vAlign w:val="center"/>
          </w:tcPr>
          <w:p>
            <w:pPr>
              <w:widowControl/>
              <w:spacing w:line="240" w:lineRule="exact"/>
              <w:ind w:firstLine="210" w:firstLineChars="100"/>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0</w:t>
            </w: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50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43</w:t>
            </w: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794"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14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972"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75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50</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50</w:t>
            </w:r>
          </w:p>
        </w:tc>
        <w:tc>
          <w:tcPr>
            <w:tcW w:w="114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4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972"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7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43</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43</w:t>
            </w:r>
          </w:p>
        </w:tc>
        <w:tc>
          <w:tcPr>
            <w:tcW w:w="114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4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972"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755" w:type="dxa"/>
            <w:noWrap/>
            <w:vAlign w:val="center"/>
          </w:tcPr>
          <w:p>
            <w:pPr>
              <w:widowControl/>
              <w:spacing w:line="240" w:lineRule="exact"/>
              <w:jc w:val="left"/>
              <w:rPr>
                <w:rFonts w:hint="eastAsia" w:eastAsia="宋体"/>
                <w:color w:val="000000"/>
                <w:kern w:val="0"/>
                <w:szCs w:val="21"/>
                <w:lang w:val="en-US" w:eastAsia="zh-CN"/>
              </w:rPr>
            </w:pPr>
          </w:p>
        </w:tc>
        <w:tc>
          <w:tcPr>
            <w:tcW w:w="1794" w:type="dxa"/>
            <w:noWrap/>
            <w:vAlign w:val="center"/>
          </w:tcPr>
          <w:p>
            <w:pPr>
              <w:widowControl/>
              <w:spacing w:line="240" w:lineRule="exact"/>
              <w:jc w:val="left"/>
              <w:rPr>
                <w:rFonts w:hint="eastAsia" w:eastAsia="宋体"/>
                <w:color w:val="000000"/>
                <w:kern w:val="0"/>
                <w:szCs w:val="21"/>
                <w:lang w:val="en-US" w:eastAsia="zh-CN"/>
              </w:rPr>
            </w:pP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55" w:type="dxa"/>
            <w:noWrap/>
            <w:vAlign w:val="center"/>
          </w:tcPr>
          <w:p>
            <w:pPr>
              <w:widowControl/>
              <w:spacing w:line="240" w:lineRule="exact"/>
              <w:jc w:val="left"/>
              <w:rPr>
                <w:rFonts w:hint="eastAsia" w:eastAsia="宋体"/>
                <w:color w:val="000000"/>
                <w:kern w:val="0"/>
                <w:szCs w:val="21"/>
                <w:lang w:val="en-US" w:eastAsia="zh-CN"/>
              </w:rPr>
            </w:pPr>
          </w:p>
        </w:tc>
        <w:tc>
          <w:tcPr>
            <w:tcW w:w="1794" w:type="dxa"/>
            <w:noWrap/>
            <w:vAlign w:val="center"/>
          </w:tcPr>
          <w:p>
            <w:pPr>
              <w:widowControl/>
              <w:spacing w:line="240" w:lineRule="exact"/>
              <w:jc w:val="left"/>
              <w:rPr>
                <w:rFonts w:hint="eastAsia" w:eastAsia="宋体"/>
                <w:color w:val="000000"/>
                <w:kern w:val="0"/>
                <w:szCs w:val="21"/>
                <w:lang w:val="en-US" w:eastAsia="zh-CN"/>
              </w:rPr>
            </w:pP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755" w:type="dxa"/>
            <w:noWrap/>
            <w:vAlign w:val="center"/>
          </w:tcPr>
          <w:p>
            <w:pPr>
              <w:widowControl/>
              <w:spacing w:line="240" w:lineRule="exact"/>
              <w:jc w:val="left"/>
              <w:rPr>
                <w:rFonts w:hint="eastAsia" w:eastAsia="宋体"/>
                <w:color w:val="000000"/>
                <w:kern w:val="0"/>
                <w:szCs w:val="21"/>
                <w:lang w:val="en-US" w:eastAsia="zh-CN"/>
              </w:rPr>
            </w:pPr>
          </w:p>
        </w:tc>
        <w:tc>
          <w:tcPr>
            <w:tcW w:w="1794" w:type="dxa"/>
            <w:noWrap/>
            <w:vAlign w:val="center"/>
          </w:tcPr>
          <w:p>
            <w:pPr>
              <w:widowControl/>
              <w:spacing w:line="240" w:lineRule="exact"/>
              <w:jc w:val="left"/>
              <w:rPr>
                <w:rFonts w:hint="eastAsia" w:eastAsia="宋体"/>
                <w:color w:val="000000"/>
                <w:kern w:val="0"/>
                <w:szCs w:val="21"/>
                <w:lang w:val="en-US" w:eastAsia="zh-CN"/>
              </w:rPr>
            </w:pPr>
          </w:p>
        </w:tc>
        <w:tc>
          <w:tcPr>
            <w:tcW w:w="1140" w:type="dxa"/>
            <w:noWrap/>
            <w:vAlign w:val="center"/>
          </w:tcPr>
          <w:p>
            <w:pPr>
              <w:widowControl/>
              <w:spacing w:line="240" w:lineRule="exact"/>
              <w:jc w:val="left"/>
              <w:rPr>
                <w:rFonts w:hint="eastAsia"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rFonts w:hint="default"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582"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目标</w:t>
            </w:r>
            <w:r>
              <w:rPr>
                <w:color w:val="000000"/>
                <w:kern w:val="0"/>
                <w:szCs w:val="21"/>
              </w:rPr>
              <w:t>1:</w:t>
            </w:r>
            <w:r>
              <w:rPr>
                <w:rFonts w:hint="eastAsia"/>
                <w:color w:val="000000"/>
                <w:kern w:val="0"/>
                <w:szCs w:val="21"/>
                <w:lang w:val="en-US" w:eastAsia="zh-CN"/>
              </w:rPr>
              <w:t>加大救护知识培训力度，提升依法履职能力</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已完成</w:t>
            </w: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w:t>
            </w:r>
            <w:r>
              <w:rPr>
                <w:color w:val="000000"/>
                <w:kern w:val="0"/>
                <w:szCs w:val="21"/>
              </w:rPr>
              <w:t>.</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1582"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93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3817"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49"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827"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75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794"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14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84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972"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Style w:val="6"/>
                <w:lang w:val="en-US" w:eastAsia="zh-CN" w:bidi="ar"/>
              </w:rPr>
              <w:t>指标</w:t>
            </w:r>
            <w:r>
              <w:rPr>
                <w:rStyle w:val="7"/>
                <w:rFonts w:eastAsia="宋体"/>
                <w:lang w:val="en-US" w:eastAsia="zh-CN" w:bidi="ar"/>
              </w:rPr>
              <w:t>1:</w:t>
            </w:r>
            <w:r>
              <w:rPr>
                <w:rStyle w:val="7"/>
                <w:rFonts w:hint="eastAsia"/>
                <w:lang w:val="en-US" w:eastAsia="zh-CN" w:bidi="ar"/>
              </w:rPr>
              <w:t>投影仪采购数量</w:t>
            </w:r>
          </w:p>
        </w:tc>
        <w:tc>
          <w:tcPr>
            <w:tcW w:w="1140"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等于</w:t>
            </w:r>
            <w:r>
              <w:rPr>
                <w:rFonts w:hint="eastAsia" w:ascii="宋体" w:hAnsi="宋体" w:cs="宋体"/>
                <w:i w:val="0"/>
                <w:iCs w:val="0"/>
                <w:color w:val="000000"/>
                <w:kern w:val="0"/>
                <w:sz w:val="21"/>
                <w:szCs w:val="21"/>
                <w:u w:val="none"/>
                <w:lang w:val="en-US" w:eastAsia="zh-CN" w:bidi="ar"/>
              </w:rPr>
              <w:t>1台</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keepNext w:val="0"/>
              <w:keepLines w:val="0"/>
              <w:widowControl/>
              <w:suppressLineNumbers w:val="0"/>
              <w:jc w:val="left"/>
              <w:textAlignment w:val="center"/>
              <w:rPr>
                <w:color w:val="000000"/>
                <w:kern w:val="0"/>
                <w:szCs w:val="21"/>
              </w:rPr>
            </w:pPr>
            <w:r>
              <w:rPr>
                <w:rStyle w:val="6"/>
                <w:lang w:val="en-US" w:eastAsia="zh-CN" w:bidi="ar"/>
              </w:rPr>
              <w:t>指标</w:t>
            </w:r>
            <w:r>
              <w:rPr>
                <w:rStyle w:val="7"/>
                <w:rFonts w:eastAsia="宋体"/>
                <w:lang w:val="en-US" w:eastAsia="zh-CN" w:bidi="ar"/>
              </w:rPr>
              <w:t>2:</w:t>
            </w:r>
          </w:p>
        </w:tc>
        <w:tc>
          <w:tcPr>
            <w:tcW w:w="1140" w:type="dxa"/>
            <w:noWrap/>
            <w:vAlign w:val="center"/>
          </w:tcPr>
          <w:p>
            <w:pPr>
              <w:keepNext w:val="0"/>
              <w:keepLines w:val="0"/>
              <w:widowControl/>
              <w:suppressLineNumbers w:val="0"/>
              <w:jc w:val="left"/>
              <w:textAlignment w:val="center"/>
              <w:rPr>
                <w:color w:val="000000"/>
                <w:kern w:val="0"/>
                <w:szCs w:val="21"/>
              </w:rPr>
            </w:pPr>
          </w:p>
        </w:tc>
        <w:tc>
          <w:tcPr>
            <w:tcW w:w="1845" w:type="dxa"/>
            <w:noWrap/>
            <w:vAlign w:val="center"/>
          </w:tcPr>
          <w:p>
            <w:pPr>
              <w:keepNext w:val="0"/>
              <w:keepLines w:val="0"/>
              <w:widowControl/>
              <w:suppressLineNumbers w:val="0"/>
              <w:jc w:val="left"/>
              <w:textAlignment w:val="center"/>
              <w:rPr>
                <w:color w:val="000000"/>
                <w:kern w:val="0"/>
                <w:szCs w:val="21"/>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投影仪验收合格率</w:t>
            </w:r>
          </w:p>
        </w:tc>
        <w:tc>
          <w:tcPr>
            <w:tcW w:w="1140"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cs="宋体"/>
                <w:i w:val="0"/>
                <w:iCs w:val="0"/>
                <w:color w:val="000000"/>
                <w:kern w:val="0"/>
                <w:sz w:val="21"/>
                <w:szCs w:val="21"/>
                <w:u w:val="none"/>
                <w:lang w:val="en-US" w:eastAsia="zh-CN" w:bidi="ar"/>
              </w:rPr>
              <w:t>大于等于100%</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rFonts w:hint="default" w:eastAsia="宋体"/>
                <w:color w:val="000000"/>
                <w:kern w:val="0"/>
                <w:szCs w:val="21"/>
                <w:lang w:val="en-US" w:eastAsia="zh-CN"/>
              </w:rPr>
            </w:pPr>
          </w:p>
        </w:tc>
        <w:tc>
          <w:tcPr>
            <w:tcW w:w="1845" w:type="dxa"/>
            <w:noWrap/>
            <w:vAlign w:val="center"/>
          </w:tcPr>
          <w:p>
            <w:pPr>
              <w:widowControl/>
              <w:spacing w:line="240" w:lineRule="exact"/>
              <w:jc w:val="left"/>
              <w:rPr>
                <w:rFonts w:hint="eastAsia"/>
                <w:color w:val="000000"/>
                <w:kern w:val="0"/>
                <w:szCs w:val="21"/>
                <w:lang w:val="en-US" w:eastAsia="zh-CN"/>
              </w:rPr>
            </w:pPr>
          </w:p>
          <w:p>
            <w:pPr>
              <w:widowControl/>
              <w:spacing w:line="240" w:lineRule="exact"/>
              <w:jc w:val="left"/>
              <w:rPr>
                <w:rFonts w:hint="eastAsia"/>
                <w:color w:val="000000"/>
                <w:kern w:val="0"/>
                <w:szCs w:val="21"/>
                <w:lang w:val="en-US" w:eastAsia="zh-CN"/>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指标3：</w:t>
            </w:r>
          </w:p>
        </w:tc>
        <w:tc>
          <w:tcPr>
            <w:tcW w:w="1140" w:type="dxa"/>
            <w:noWrap/>
            <w:vAlign w:val="center"/>
          </w:tcPr>
          <w:p>
            <w:pPr>
              <w:widowControl/>
              <w:spacing w:line="240" w:lineRule="exact"/>
              <w:jc w:val="left"/>
              <w:rPr>
                <w:rFonts w:hint="default" w:eastAsia="宋体"/>
                <w:color w:val="000000"/>
                <w:kern w:val="0"/>
                <w:szCs w:val="21"/>
                <w:lang w:val="en-US" w:eastAsia="zh-CN"/>
              </w:rPr>
            </w:pPr>
          </w:p>
        </w:tc>
        <w:tc>
          <w:tcPr>
            <w:tcW w:w="1845" w:type="dxa"/>
            <w:noWrap/>
            <w:vAlign w:val="center"/>
          </w:tcPr>
          <w:p>
            <w:pPr>
              <w:widowControl/>
              <w:spacing w:line="240" w:lineRule="exact"/>
              <w:jc w:val="left"/>
              <w:rPr>
                <w:rFonts w:hint="eastAsia" w:eastAsia="宋体"/>
                <w:color w:val="000000"/>
                <w:kern w:val="0"/>
                <w:szCs w:val="21"/>
                <w:lang w:val="en-US" w:eastAsia="zh-CN"/>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w:t>
            </w:r>
          </w:p>
        </w:tc>
        <w:tc>
          <w:tcPr>
            <w:tcW w:w="1140" w:type="dxa"/>
            <w:noWrap/>
            <w:vAlign w:val="center"/>
          </w:tcPr>
          <w:p>
            <w:pPr>
              <w:keepNext w:val="0"/>
              <w:keepLines w:val="0"/>
              <w:widowControl/>
              <w:suppressLineNumbers w:val="0"/>
              <w:jc w:val="left"/>
              <w:textAlignment w:val="center"/>
              <w:rPr>
                <w:color w:val="000000"/>
                <w:kern w:val="0"/>
                <w:szCs w:val="21"/>
              </w:rPr>
            </w:pPr>
          </w:p>
        </w:tc>
        <w:tc>
          <w:tcPr>
            <w:tcW w:w="1845" w:type="dxa"/>
            <w:noWrap/>
            <w:vAlign w:val="center"/>
          </w:tcPr>
          <w:p>
            <w:pPr>
              <w:keepNext w:val="0"/>
              <w:keepLines w:val="0"/>
              <w:widowControl/>
              <w:suppressLineNumbers w:val="0"/>
              <w:jc w:val="left"/>
              <w:textAlignment w:val="center"/>
              <w:rPr>
                <w:color w:val="000000"/>
                <w:kern w:val="0"/>
                <w:szCs w:val="21"/>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投影仪采购总成本</w:t>
            </w:r>
          </w:p>
        </w:tc>
        <w:tc>
          <w:tcPr>
            <w:tcW w:w="1140"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小于等于0.5万元</w:t>
            </w:r>
          </w:p>
        </w:tc>
        <w:tc>
          <w:tcPr>
            <w:tcW w:w="1845"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已完成</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79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82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1:</w:t>
            </w:r>
            <w:r>
              <w:rPr>
                <w:rFonts w:hint="eastAsia"/>
                <w:color w:val="000000"/>
                <w:kern w:val="0"/>
                <w:szCs w:val="21"/>
                <w:lang w:val="en-US" w:eastAsia="zh-CN"/>
              </w:rPr>
              <w:t>工作效率提升情况</w:t>
            </w:r>
          </w:p>
        </w:tc>
        <w:tc>
          <w:tcPr>
            <w:tcW w:w="114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定性</w:t>
            </w:r>
          </w:p>
        </w:tc>
        <w:tc>
          <w:tcPr>
            <w:tcW w:w="184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明显提高</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1794"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p>
        </w:tc>
        <w:tc>
          <w:tcPr>
            <w:tcW w:w="1140" w:type="dxa"/>
            <w:noWrap/>
            <w:vAlign w:val="center"/>
          </w:tcPr>
          <w:p>
            <w:pPr>
              <w:keepNext w:val="0"/>
              <w:keepLines w:val="0"/>
              <w:widowControl/>
              <w:suppressLineNumbers w:val="0"/>
              <w:jc w:val="left"/>
              <w:textAlignment w:val="center"/>
              <w:rPr>
                <w:color w:val="000000"/>
                <w:kern w:val="0"/>
                <w:szCs w:val="21"/>
              </w:rPr>
            </w:pPr>
          </w:p>
        </w:tc>
        <w:tc>
          <w:tcPr>
            <w:tcW w:w="1845" w:type="dxa"/>
            <w:noWrap/>
            <w:vAlign w:val="center"/>
          </w:tcPr>
          <w:p>
            <w:pPr>
              <w:keepNext w:val="0"/>
              <w:keepLines w:val="0"/>
              <w:widowControl/>
              <w:suppressLineNumbers w:val="0"/>
              <w:jc w:val="left"/>
              <w:textAlignment w:val="center"/>
              <w:rPr>
                <w:color w:val="000000"/>
                <w:kern w:val="0"/>
                <w:szCs w:val="21"/>
              </w:rPr>
            </w:pP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79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1:</w:t>
            </w:r>
            <w:r>
              <w:rPr>
                <w:rFonts w:hint="eastAsia"/>
                <w:color w:val="000000"/>
                <w:kern w:val="0"/>
                <w:szCs w:val="21"/>
                <w:lang w:val="en-US" w:eastAsia="zh-CN"/>
              </w:rPr>
              <w:t>在“三救三献”中持续扩大影响力</w:t>
            </w:r>
          </w:p>
        </w:tc>
        <w:tc>
          <w:tcPr>
            <w:tcW w:w="1140" w:type="dxa"/>
            <w:noWrap/>
            <w:vAlign w:val="center"/>
          </w:tcPr>
          <w:p>
            <w:pPr>
              <w:widowControl/>
              <w:spacing w:line="240" w:lineRule="exact"/>
              <w:jc w:val="left"/>
              <w:rPr>
                <w:color w:val="000000"/>
                <w:kern w:val="0"/>
                <w:szCs w:val="21"/>
              </w:rPr>
            </w:pPr>
            <w:r>
              <w:rPr>
                <w:rFonts w:hint="eastAsia"/>
                <w:color w:val="000000"/>
                <w:kern w:val="0"/>
                <w:szCs w:val="21"/>
                <w:lang w:val="en-US" w:eastAsia="zh-CN"/>
              </w:rPr>
              <w:t>定性</w:t>
            </w: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lang w:val="en-US" w:eastAsia="zh-CN"/>
              </w:rPr>
              <w:t>已完成</w:t>
            </w: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79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755"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794" w:type="dxa"/>
            <w:noWrap/>
            <w:vAlign w:val="center"/>
          </w:tcPr>
          <w:p>
            <w:pPr>
              <w:keepNext w:val="0"/>
              <w:keepLines w:val="0"/>
              <w:widowControl/>
              <w:suppressLineNumbers w:val="0"/>
              <w:jc w:val="left"/>
              <w:textAlignment w:val="center"/>
              <w:rPr>
                <w:rFonts w:hint="default"/>
                <w:color w:val="000000"/>
                <w:kern w:val="0"/>
                <w:szCs w:val="21"/>
                <w:lang w:val="en-US"/>
              </w:rPr>
            </w:pPr>
            <w:r>
              <w:rPr>
                <w:rFonts w:hint="eastAsia" w:ascii="宋体" w:hAnsi="宋体" w:eastAsia="宋体" w:cs="宋体"/>
                <w:i w:val="0"/>
                <w:iCs w:val="0"/>
                <w:color w:val="000000"/>
                <w:kern w:val="0"/>
                <w:sz w:val="21"/>
                <w:szCs w:val="21"/>
                <w:u w:val="none"/>
                <w:lang w:val="en-US" w:eastAsia="zh-CN" w:bidi="ar"/>
              </w:rPr>
              <w:t>指标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cs="Times New Roman"/>
                <w:i w:val="0"/>
                <w:iCs w:val="0"/>
                <w:color w:val="000000"/>
                <w:kern w:val="0"/>
                <w:sz w:val="21"/>
                <w:szCs w:val="21"/>
                <w:u w:val="none"/>
                <w:lang w:val="en-US" w:eastAsia="zh-CN" w:bidi="ar"/>
              </w:rPr>
              <w:t>受益群众满意度</w:t>
            </w:r>
          </w:p>
        </w:tc>
        <w:tc>
          <w:tcPr>
            <w:tcW w:w="1140" w:type="dxa"/>
            <w:noWrap/>
            <w:vAlign w:val="center"/>
          </w:tcPr>
          <w:p>
            <w:pPr>
              <w:keepNext w:val="0"/>
              <w:keepLines w:val="0"/>
              <w:widowControl/>
              <w:suppressLineNumbers w:val="0"/>
              <w:jc w:val="left"/>
              <w:textAlignment w:val="center"/>
              <w:rPr>
                <w:rFonts w:hint="default" w:eastAsia="宋体"/>
                <w:color w:val="000000"/>
                <w:kern w:val="0"/>
                <w:szCs w:val="21"/>
                <w:lang w:val="en-US" w:eastAsia="zh-CN"/>
              </w:rPr>
            </w:pPr>
            <w:r>
              <w:rPr>
                <w:rFonts w:hint="eastAsia"/>
                <w:color w:val="000000"/>
                <w:kern w:val="0"/>
                <w:szCs w:val="21"/>
                <w:lang w:val="en-US" w:eastAsia="zh-CN"/>
              </w:rPr>
              <w:t>大于90%</w:t>
            </w:r>
          </w:p>
        </w:tc>
        <w:tc>
          <w:tcPr>
            <w:tcW w:w="1845" w:type="dxa"/>
            <w:noWrap/>
            <w:vAlign w:val="center"/>
          </w:tcPr>
          <w:p>
            <w:pPr>
              <w:keepNext w:val="0"/>
              <w:keepLines w:val="0"/>
              <w:widowControl/>
              <w:suppressLineNumbers w:val="0"/>
              <w:jc w:val="left"/>
              <w:textAlignment w:val="center"/>
              <w:rPr>
                <w:color w:val="000000"/>
                <w:kern w:val="0"/>
                <w:szCs w:val="21"/>
              </w:rPr>
            </w:pPr>
            <w:r>
              <w:rPr>
                <w:rFonts w:hint="eastAsia" w:ascii="宋体" w:hAnsi="宋体" w:eastAsia="宋体" w:cs="宋体"/>
                <w:i w:val="0"/>
                <w:iCs w:val="0"/>
                <w:color w:val="000000"/>
                <w:kern w:val="0"/>
                <w:sz w:val="21"/>
                <w:szCs w:val="21"/>
                <w:u w:val="none"/>
                <w:lang w:val="en-US" w:eastAsia="zh-CN" w:bidi="ar"/>
              </w:rPr>
              <w:t>98%</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noWrap w:val="0"/>
            <w:vAlign w:val="center"/>
          </w:tcPr>
          <w:p>
            <w:pPr>
              <w:widowControl/>
              <w:spacing w:line="240" w:lineRule="exact"/>
              <w:jc w:val="left"/>
              <w:rPr>
                <w:color w:val="000000"/>
                <w:kern w:val="0"/>
                <w:szCs w:val="21"/>
              </w:rPr>
            </w:pPr>
          </w:p>
        </w:tc>
        <w:tc>
          <w:tcPr>
            <w:tcW w:w="827" w:type="dxa"/>
            <w:vMerge w:val="continue"/>
            <w:noWrap w:val="0"/>
            <w:vAlign w:val="center"/>
          </w:tcPr>
          <w:p>
            <w:pPr>
              <w:widowControl/>
              <w:spacing w:line="240" w:lineRule="exact"/>
              <w:jc w:val="left"/>
              <w:rPr>
                <w:color w:val="000000"/>
                <w:kern w:val="0"/>
                <w:szCs w:val="21"/>
              </w:rPr>
            </w:pPr>
          </w:p>
        </w:tc>
        <w:tc>
          <w:tcPr>
            <w:tcW w:w="755" w:type="dxa"/>
            <w:vMerge w:val="continue"/>
            <w:noWrap w:val="0"/>
            <w:vAlign w:val="center"/>
          </w:tcPr>
          <w:p>
            <w:pPr>
              <w:widowControl/>
              <w:spacing w:line="240" w:lineRule="exact"/>
              <w:jc w:val="left"/>
              <w:rPr>
                <w:color w:val="000000"/>
                <w:kern w:val="0"/>
                <w:szCs w:val="21"/>
              </w:rPr>
            </w:pPr>
          </w:p>
        </w:tc>
        <w:tc>
          <w:tcPr>
            <w:tcW w:w="1794"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4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9"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827"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75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794"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140"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84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972"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ind w:left="1917" w:leftChars="760" w:hanging="321" w:hangingChars="100"/>
        <w:jc w:val="left"/>
        <w:rPr>
          <w:rFonts w:ascii="宋体" w:hAnsi="宋体" w:eastAsia="方正仿宋简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简体">
    <w:panose1 w:val="03000509000000000000"/>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7FA5F"/>
    <w:multiLevelType w:val="singleLevel"/>
    <w:tmpl w:val="1387FA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0141C"/>
    <w:rsid w:val="002F52A5"/>
    <w:rsid w:val="00564242"/>
    <w:rsid w:val="01D0141C"/>
    <w:rsid w:val="0BE06E39"/>
    <w:rsid w:val="13E84A59"/>
    <w:rsid w:val="16B15AF3"/>
    <w:rsid w:val="1E8D6450"/>
    <w:rsid w:val="279D3003"/>
    <w:rsid w:val="2D6052AA"/>
    <w:rsid w:val="2F3D691D"/>
    <w:rsid w:val="3ACF67B6"/>
    <w:rsid w:val="3F8C38F9"/>
    <w:rsid w:val="400A1F17"/>
    <w:rsid w:val="4104106F"/>
    <w:rsid w:val="4397576A"/>
    <w:rsid w:val="441804B7"/>
    <w:rsid w:val="454C565A"/>
    <w:rsid w:val="4D077860"/>
    <w:rsid w:val="4D185AB2"/>
    <w:rsid w:val="4F8E7108"/>
    <w:rsid w:val="588E08B7"/>
    <w:rsid w:val="5ADE6364"/>
    <w:rsid w:val="60C92DAE"/>
    <w:rsid w:val="62777258"/>
    <w:rsid w:val="712534FE"/>
    <w:rsid w:val="735E51BC"/>
    <w:rsid w:val="753D4EE6"/>
    <w:rsid w:val="7AF96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character" w:customStyle="1" w:styleId="6">
    <w:name w:val="font11"/>
    <w:basedOn w:val="5"/>
    <w:qFormat/>
    <w:uiPriority w:val="0"/>
    <w:rPr>
      <w:rFonts w:hint="eastAsia" w:ascii="宋体" w:hAnsi="宋体" w:eastAsia="宋体" w:cs="宋体"/>
      <w:color w:val="000000"/>
      <w:sz w:val="21"/>
      <w:szCs w:val="21"/>
      <w:u w:val="none"/>
    </w:rPr>
  </w:style>
  <w:style w:type="character" w:customStyle="1" w:styleId="7">
    <w:name w:val="font21"/>
    <w:basedOn w:val="5"/>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2022-08-05T03:51:00Z</dcterms:created>
  <dc:creator>Sjj-2208-hl</dc:creator>
  <cp:lastModifiedBy>Acer</cp:lastModifiedBy>
  <cp:lastPrinted>2022-09-05T01:24:00Z</cp:lastPrinted>
  <dcterms:modified xsi:type="dcterms:W3CDTF">2023-11-06T01:10:17Z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7C87FD3810C145CCBE336179050552CA</vt:lpwstr>
  </property>
</Properties>
</file>